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0C4C7" w14:textId="2F85E9B8" w:rsidR="00A307A3" w:rsidRDefault="00886F55" w:rsidP="00886F55">
      <w:pPr>
        <w:rPr>
          <w:rFonts w:cstheme="minorHAnsi"/>
          <w:b/>
          <w:bCs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3F6400D3" wp14:editId="402F025E">
            <wp:extent cx="923498" cy="395785"/>
            <wp:effectExtent l="0" t="0" r="0" b="4445"/>
            <wp:docPr id="1980365781" name="Picture 1" descr="A black and white 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365781" name="Picture 1" descr="A black and white logo&#10;&#10;Description automatically generated with low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216" cy="39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55407" w14:textId="11C9CF5A" w:rsidR="00946D8C" w:rsidRPr="00BD00C2" w:rsidRDefault="00CE05DE" w:rsidP="00CE05DE">
      <w:pPr>
        <w:jc w:val="center"/>
        <w:rPr>
          <w:rFonts w:cstheme="minorHAnsi"/>
          <w:b/>
          <w:bCs/>
          <w:sz w:val="28"/>
          <w:szCs w:val="28"/>
          <w:u w:val="single"/>
        </w:rPr>
      </w:pPr>
      <w:r w:rsidRPr="00BD00C2">
        <w:rPr>
          <w:rFonts w:cstheme="minorHAnsi"/>
          <w:b/>
          <w:bCs/>
          <w:sz w:val="28"/>
          <w:szCs w:val="28"/>
          <w:u w:val="single"/>
        </w:rPr>
        <w:t>VA Cheat Sheet</w:t>
      </w:r>
    </w:p>
    <w:p w14:paraId="60ED9D0A" w14:textId="58C7A9E0" w:rsidR="00F47A37" w:rsidRPr="00BD00C2" w:rsidRDefault="007C5E6A">
      <w:pPr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b/>
          <w:bCs/>
          <w:sz w:val="24"/>
          <w:szCs w:val="24"/>
          <w:u w:val="single"/>
        </w:rPr>
        <w:t>Funding Fee Requirements: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20646" w:rsidRPr="00BD00C2" w14:paraId="3141BED2" w14:textId="77777777" w:rsidTr="00D20646">
        <w:tc>
          <w:tcPr>
            <w:tcW w:w="3116" w:type="dxa"/>
          </w:tcPr>
          <w:p w14:paraId="40E74A71" w14:textId="52022D09" w:rsidR="00D20646" w:rsidRPr="00BD00C2" w:rsidRDefault="00D20646" w:rsidP="00D20646">
            <w:pPr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BD00C2">
              <w:rPr>
                <w:rFonts w:cstheme="minorHAnsi"/>
                <w:b/>
                <w:bCs/>
                <w:sz w:val="24"/>
                <w:szCs w:val="24"/>
                <w:u w:val="single"/>
              </w:rPr>
              <w:t>Down Payment</w:t>
            </w:r>
          </w:p>
        </w:tc>
        <w:tc>
          <w:tcPr>
            <w:tcW w:w="3117" w:type="dxa"/>
          </w:tcPr>
          <w:p w14:paraId="041F99CF" w14:textId="1EC98B53" w:rsidR="00D20646" w:rsidRPr="00BD00C2" w:rsidRDefault="00D20646" w:rsidP="00D20646">
            <w:pPr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BD00C2">
              <w:rPr>
                <w:rFonts w:cstheme="minorHAnsi"/>
                <w:b/>
                <w:bCs/>
                <w:sz w:val="24"/>
                <w:szCs w:val="24"/>
                <w:u w:val="single"/>
              </w:rPr>
              <w:t>First Time Use</w:t>
            </w:r>
          </w:p>
        </w:tc>
        <w:tc>
          <w:tcPr>
            <w:tcW w:w="3117" w:type="dxa"/>
          </w:tcPr>
          <w:p w14:paraId="4B5C5BFC" w14:textId="75536BEC" w:rsidR="00D20646" w:rsidRPr="00BD00C2" w:rsidRDefault="00D20646" w:rsidP="00D20646">
            <w:pPr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BD00C2">
              <w:rPr>
                <w:rFonts w:cstheme="minorHAnsi"/>
                <w:b/>
                <w:bCs/>
                <w:sz w:val="24"/>
                <w:szCs w:val="24"/>
                <w:u w:val="single"/>
              </w:rPr>
              <w:t>Subsequent Use</w:t>
            </w:r>
          </w:p>
        </w:tc>
      </w:tr>
      <w:tr w:rsidR="00D20646" w:rsidRPr="00BD00C2" w14:paraId="27BCD54D" w14:textId="77777777" w:rsidTr="00D20646">
        <w:tc>
          <w:tcPr>
            <w:tcW w:w="3116" w:type="dxa"/>
          </w:tcPr>
          <w:p w14:paraId="424243D3" w14:textId="7027117C" w:rsidR="00D20646" w:rsidRPr="00BD00C2" w:rsidRDefault="00D20646" w:rsidP="00D2064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00C2">
              <w:rPr>
                <w:rFonts w:cstheme="minorHAnsi"/>
                <w:sz w:val="24"/>
                <w:szCs w:val="24"/>
              </w:rPr>
              <w:t>None</w:t>
            </w:r>
          </w:p>
        </w:tc>
        <w:tc>
          <w:tcPr>
            <w:tcW w:w="3117" w:type="dxa"/>
          </w:tcPr>
          <w:p w14:paraId="0330BEB6" w14:textId="578F894C" w:rsidR="00D20646" w:rsidRPr="00BD00C2" w:rsidRDefault="00D20646" w:rsidP="00D2064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00C2">
              <w:rPr>
                <w:rFonts w:cstheme="minorHAnsi"/>
                <w:sz w:val="24"/>
                <w:szCs w:val="24"/>
              </w:rPr>
              <w:t>2.</w:t>
            </w:r>
            <w:r w:rsidR="00E051F1" w:rsidRPr="00BD00C2">
              <w:rPr>
                <w:rFonts w:cstheme="minorHAnsi"/>
                <w:sz w:val="24"/>
                <w:szCs w:val="24"/>
              </w:rPr>
              <w:t>15</w:t>
            </w:r>
            <w:r w:rsidRPr="00BD00C2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3117" w:type="dxa"/>
          </w:tcPr>
          <w:p w14:paraId="0011036B" w14:textId="558C77A4" w:rsidR="00D20646" w:rsidRPr="00BD00C2" w:rsidRDefault="00D20646" w:rsidP="00D2064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00C2">
              <w:rPr>
                <w:rFonts w:cstheme="minorHAnsi"/>
                <w:sz w:val="24"/>
                <w:szCs w:val="24"/>
              </w:rPr>
              <w:t>3.</w:t>
            </w:r>
            <w:r w:rsidR="007D6C70" w:rsidRPr="00BD00C2">
              <w:rPr>
                <w:rFonts w:cstheme="minorHAnsi"/>
                <w:sz w:val="24"/>
                <w:szCs w:val="24"/>
              </w:rPr>
              <w:t>3</w:t>
            </w:r>
            <w:r w:rsidRPr="00BD00C2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D20646" w:rsidRPr="00BD00C2" w14:paraId="7CDF3EF1" w14:textId="77777777" w:rsidTr="00D20646">
        <w:tc>
          <w:tcPr>
            <w:tcW w:w="3116" w:type="dxa"/>
          </w:tcPr>
          <w:p w14:paraId="124FA2A4" w14:textId="3BCA833E" w:rsidR="00D20646" w:rsidRPr="00BD00C2" w:rsidRDefault="00D20646" w:rsidP="00D2064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00C2">
              <w:rPr>
                <w:rFonts w:cstheme="minorHAnsi"/>
                <w:sz w:val="24"/>
                <w:szCs w:val="24"/>
              </w:rPr>
              <w:t>5% but &lt; 10%</w:t>
            </w:r>
          </w:p>
        </w:tc>
        <w:tc>
          <w:tcPr>
            <w:tcW w:w="3117" w:type="dxa"/>
          </w:tcPr>
          <w:p w14:paraId="141F34E0" w14:textId="264F47CE" w:rsidR="00D20646" w:rsidRPr="00BD00C2" w:rsidRDefault="00D20646" w:rsidP="00D2064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00C2">
              <w:rPr>
                <w:rFonts w:cstheme="minorHAnsi"/>
                <w:sz w:val="24"/>
                <w:szCs w:val="24"/>
              </w:rPr>
              <w:t>1.</w:t>
            </w:r>
            <w:r w:rsidR="007D6C70" w:rsidRPr="00BD00C2">
              <w:rPr>
                <w:rFonts w:cstheme="minorHAnsi"/>
                <w:sz w:val="24"/>
                <w:szCs w:val="24"/>
              </w:rPr>
              <w:t>5</w:t>
            </w:r>
            <w:r w:rsidRPr="00BD00C2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3117" w:type="dxa"/>
          </w:tcPr>
          <w:p w14:paraId="0C3C358E" w14:textId="2750B331" w:rsidR="00D20646" w:rsidRPr="00BD00C2" w:rsidRDefault="00D20646" w:rsidP="00D2064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00C2">
              <w:rPr>
                <w:rFonts w:cstheme="minorHAnsi"/>
                <w:sz w:val="24"/>
                <w:szCs w:val="24"/>
              </w:rPr>
              <w:t>1.</w:t>
            </w:r>
            <w:r w:rsidR="007D6C70" w:rsidRPr="00BD00C2">
              <w:rPr>
                <w:rFonts w:cstheme="minorHAnsi"/>
                <w:sz w:val="24"/>
                <w:szCs w:val="24"/>
              </w:rPr>
              <w:t>5</w:t>
            </w:r>
            <w:r w:rsidRPr="00BD00C2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D20646" w:rsidRPr="00BD00C2" w14:paraId="1258CA4E" w14:textId="77777777" w:rsidTr="00D20646">
        <w:tc>
          <w:tcPr>
            <w:tcW w:w="3116" w:type="dxa"/>
          </w:tcPr>
          <w:p w14:paraId="1B7EAE82" w14:textId="7C1D3BA7" w:rsidR="00D20646" w:rsidRPr="00BD00C2" w:rsidRDefault="00D20646" w:rsidP="00D2064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00C2">
              <w:rPr>
                <w:rFonts w:cstheme="minorHAnsi"/>
                <w:sz w:val="24"/>
                <w:szCs w:val="24"/>
              </w:rPr>
              <w:t>10% or more</w:t>
            </w:r>
          </w:p>
        </w:tc>
        <w:tc>
          <w:tcPr>
            <w:tcW w:w="3117" w:type="dxa"/>
          </w:tcPr>
          <w:p w14:paraId="65F97256" w14:textId="0C1CADE3" w:rsidR="00D20646" w:rsidRPr="00BD00C2" w:rsidRDefault="00D20646" w:rsidP="00D2064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00C2">
              <w:rPr>
                <w:rFonts w:cstheme="minorHAnsi"/>
                <w:sz w:val="24"/>
                <w:szCs w:val="24"/>
              </w:rPr>
              <w:t>1.</w:t>
            </w:r>
            <w:r w:rsidR="007D6C70" w:rsidRPr="00BD00C2">
              <w:rPr>
                <w:rFonts w:cstheme="minorHAnsi"/>
                <w:sz w:val="24"/>
                <w:szCs w:val="24"/>
              </w:rPr>
              <w:t>25</w:t>
            </w:r>
            <w:r w:rsidRPr="00BD00C2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3117" w:type="dxa"/>
          </w:tcPr>
          <w:p w14:paraId="2DA44787" w14:textId="684819E9" w:rsidR="00D20646" w:rsidRPr="00BD00C2" w:rsidRDefault="00D20646" w:rsidP="00D2064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D00C2">
              <w:rPr>
                <w:rFonts w:cstheme="minorHAnsi"/>
                <w:sz w:val="24"/>
                <w:szCs w:val="24"/>
              </w:rPr>
              <w:t>1.</w:t>
            </w:r>
            <w:r w:rsidR="007D6C70" w:rsidRPr="00BD00C2">
              <w:rPr>
                <w:rFonts w:cstheme="minorHAnsi"/>
                <w:sz w:val="24"/>
                <w:szCs w:val="24"/>
              </w:rPr>
              <w:t>25</w:t>
            </w:r>
            <w:r w:rsidRPr="00BD00C2">
              <w:rPr>
                <w:rFonts w:cstheme="minorHAnsi"/>
                <w:sz w:val="24"/>
                <w:szCs w:val="24"/>
              </w:rPr>
              <w:t>%</w:t>
            </w:r>
          </w:p>
        </w:tc>
      </w:tr>
    </w:tbl>
    <w:p w14:paraId="6D427BE6" w14:textId="77777777" w:rsidR="00C43985" w:rsidRPr="00BD00C2" w:rsidRDefault="00C43985" w:rsidP="00C43985">
      <w:pPr>
        <w:spacing w:after="0"/>
        <w:rPr>
          <w:rFonts w:cstheme="minorHAnsi"/>
          <w:sz w:val="24"/>
          <w:szCs w:val="24"/>
        </w:rPr>
      </w:pPr>
    </w:p>
    <w:p w14:paraId="257FA20D" w14:textId="455CB7B4" w:rsidR="00C43985" w:rsidRPr="00BD00C2" w:rsidRDefault="00C43985" w:rsidP="00C43985">
      <w:p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  <w:u w:val="single"/>
        </w:rPr>
        <w:t>Doc Expiration:</w:t>
      </w:r>
      <w:r w:rsidRPr="00BD00C2">
        <w:rPr>
          <w:rFonts w:cstheme="minorHAnsi"/>
          <w:sz w:val="24"/>
          <w:szCs w:val="24"/>
        </w:rPr>
        <w:t xml:space="preserve"> 120 Days &amp; 180 Days for New Construction</w:t>
      </w:r>
      <w:r w:rsidR="009B4310" w:rsidRPr="00FB24F3">
        <w:rPr>
          <w:rFonts w:cstheme="minorHAnsi"/>
          <w:sz w:val="24"/>
          <w:szCs w:val="24"/>
        </w:rPr>
        <w:t xml:space="preserve"> Loans</w:t>
      </w:r>
      <w:r w:rsidR="00255AB1" w:rsidRPr="00FB24F3">
        <w:rPr>
          <w:rFonts w:cstheme="minorHAnsi"/>
          <w:sz w:val="24"/>
          <w:szCs w:val="24"/>
        </w:rPr>
        <w:t xml:space="preserve"> </w:t>
      </w:r>
      <w:r w:rsidR="00255AB1" w:rsidRPr="00BD00C2">
        <w:rPr>
          <w:rFonts w:cstheme="minorHAnsi"/>
          <w:sz w:val="24"/>
          <w:szCs w:val="24"/>
        </w:rPr>
        <w:t>– Per AUS Findings</w:t>
      </w:r>
    </w:p>
    <w:p w14:paraId="2C78927B" w14:textId="1BE91FB4" w:rsidR="00C43985" w:rsidRPr="00BD00C2" w:rsidRDefault="00C43985" w:rsidP="00C43985">
      <w:p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  <w:u w:val="single"/>
        </w:rPr>
        <w:t>DTI</w:t>
      </w:r>
      <w:r w:rsidR="001F6743" w:rsidRPr="00BD00C2">
        <w:rPr>
          <w:rFonts w:cstheme="minorHAnsi"/>
          <w:sz w:val="24"/>
          <w:szCs w:val="24"/>
          <w:u w:val="single"/>
        </w:rPr>
        <w:t>/Residual</w:t>
      </w:r>
      <w:r w:rsidRPr="00BD00C2">
        <w:rPr>
          <w:rFonts w:cstheme="minorHAnsi"/>
          <w:sz w:val="24"/>
          <w:szCs w:val="24"/>
          <w:u w:val="single"/>
        </w:rPr>
        <w:t>:</w:t>
      </w:r>
      <w:r w:rsidRPr="00BD00C2">
        <w:rPr>
          <w:rFonts w:cstheme="minorHAnsi"/>
          <w:sz w:val="24"/>
          <w:szCs w:val="24"/>
        </w:rPr>
        <w:t xml:space="preserve"> Backend DTI over 41% requires residual to be met by 120%</w:t>
      </w:r>
    </w:p>
    <w:p w14:paraId="59720884" w14:textId="4933BAFF" w:rsidR="001F6743" w:rsidRDefault="001F6743" w:rsidP="00F97456">
      <w:p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  <w:u w:val="single"/>
        </w:rPr>
        <w:t>Escrow Waivers</w:t>
      </w:r>
      <w:r w:rsidR="00F97456" w:rsidRPr="00BD00C2">
        <w:rPr>
          <w:rFonts w:cstheme="minorHAnsi"/>
          <w:sz w:val="24"/>
          <w:szCs w:val="24"/>
          <w:u w:val="single"/>
        </w:rPr>
        <w:t>:</w:t>
      </w:r>
      <w:r w:rsidRPr="00BD00C2">
        <w:rPr>
          <w:rFonts w:cstheme="minorHAnsi"/>
          <w:sz w:val="24"/>
          <w:szCs w:val="24"/>
        </w:rPr>
        <w:t xml:space="preserve"> NOT Allowed under any circumstances (Unless Veteran is 100% disabled – property tax escrows can be waived)</w:t>
      </w:r>
    </w:p>
    <w:p w14:paraId="7F46133F" w14:textId="21F157F5" w:rsidR="0051552B" w:rsidRPr="00BD00C2" w:rsidRDefault="0051552B" w:rsidP="00F97456">
      <w:pPr>
        <w:spacing w:after="0"/>
        <w:rPr>
          <w:rFonts w:cstheme="minorHAnsi"/>
          <w:sz w:val="24"/>
          <w:szCs w:val="24"/>
        </w:rPr>
      </w:pPr>
      <w:r w:rsidRPr="0051552B">
        <w:rPr>
          <w:rFonts w:cstheme="minorHAnsi"/>
          <w:sz w:val="24"/>
          <w:szCs w:val="24"/>
          <w:u w:val="single"/>
        </w:rPr>
        <w:t>Max Seller Concessions:</w:t>
      </w:r>
      <w:r>
        <w:rPr>
          <w:rFonts w:cstheme="minorHAnsi"/>
          <w:sz w:val="24"/>
          <w:szCs w:val="24"/>
        </w:rPr>
        <w:t xml:space="preserve"> 4% </w:t>
      </w:r>
      <w:r w:rsidR="0053432A">
        <w:rPr>
          <w:rFonts w:cstheme="minorHAnsi"/>
          <w:sz w:val="24"/>
          <w:szCs w:val="24"/>
        </w:rPr>
        <w:t>of purchase price</w:t>
      </w:r>
    </w:p>
    <w:p w14:paraId="2451AFBD" w14:textId="77777777" w:rsidR="00572BF3" w:rsidRDefault="00572BF3" w:rsidP="00F97456">
      <w:pPr>
        <w:spacing w:after="0"/>
        <w:rPr>
          <w:rFonts w:cstheme="minorHAnsi"/>
          <w:b/>
          <w:bCs/>
          <w:sz w:val="24"/>
          <w:szCs w:val="24"/>
          <w:u w:val="single"/>
        </w:rPr>
      </w:pPr>
    </w:p>
    <w:p w14:paraId="6099AD1D" w14:textId="6EB14EA4" w:rsidR="00EF5594" w:rsidRPr="00BD00C2" w:rsidRDefault="00EF5594" w:rsidP="00F97456">
      <w:p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b/>
          <w:bCs/>
          <w:sz w:val="24"/>
          <w:szCs w:val="24"/>
          <w:u w:val="single"/>
        </w:rPr>
        <w:t>NPS</w:t>
      </w:r>
      <w:r w:rsidRPr="00BD00C2">
        <w:rPr>
          <w:rFonts w:cstheme="minorHAnsi"/>
          <w:sz w:val="24"/>
          <w:szCs w:val="24"/>
        </w:rPr>
        <w:t>: MUST pull credit – If NPS</w:t>
      </w:r>
      <w:r w:rsidR="009B4310">
        <w:rPr>
          <w:rFonts w:cstheme="minorHAnsi"/>
          <w:sz w:val="24"/>
          <w:szCs w:val="24"/>
        </w:rPr>
        <w:t xml:space="preserve"> </w:t>
      </w:r>
      <w:r w:rsidR="009B4310" w:rsidRPr="00FB24F3">
        <w:rPr>
          <w:rFonts w:cstheme="minorHAnsi"/>
          <w:sz w:val="24"/>
          <w:szCs w:val="24"/>
        </w:rPr>
        <w:t>NET</w:t>
      </w:r>
      <w:r w:rsidRPr="00FB24F3">
        <w:rPr>
          <w:rFonts w:cstheme="minorHAnsi"/>
          <w:sz w:val="24"/>
          <w:szCs w:val="24"/>
        </w:rPr>
        <w:t xml:space="preserve"> </w:t>
      </w:r>
      <w:r w:rsidRPr="00BD00C2">
        <w:rPr>
          <w:rFonts w:cstheme="minorHAnsi"/>
          <w:sz w:val="24"/>
          <w:szCs w:val="24"/>
        </w:rPr>
        <w:t xml:space="preserve">income is enough to cover own debts then debts can be </w:t>
      </w:r>
      <w:r w:rsidR="0053432A" w:rsidRPr="00BD00C2">
        <w:rPr>
          <w:rFonts w:cstheme="minorHAnsi"/>
          <w:sz w:val="24"/>
          <w:szCs w:val="24"/>
        </w:rPr>
        <w:t>omitted,</w:t>
      </w:r>
      <w:r w:rsidRPr="00BD00C2">
        <w:rPr>
          <w:rFonts w:cstheme="minorHAnsi"/>
          <w:sz w:val="24"/>
          <w:szCs w:val="24"/>
        </w:rPr>
        <w:t xml:space="preserve"> and residual reduced by 1</w:t>
      </w:r>
      <w:r w:rsidR="00572BF3">
        <w:rPr>
          <w:rFonts w:cstheme="minorHAnsi"/>
          <w:sz w:val="24"/>
          <w:szCs w:val="24"/>
        </w:rPr>
        <w:t xml:space="preserve"> (All income verification docs required)</w:t>
      </w:r>
    </w:p>
    <w:p w14:paraId="1A9AFBB0" w14:textId="77777777" w:rsidR="00F97456" w:rsidRPr="00BD00C2" w:rsidRDefault="00F97456" w:rsidP="00F97456">
      <w:pPr>
        <w:spacing w:after="0"/>
        <w:rPr>
          <w:rFonts w:cstheme="minorHAnsi"/>
          <w:b/>
          <w:bCs/>
          <w:sz w:val="24"/>
          <w:szCs w:val="24"/>
          <w:u w:val="single"/>
        </w:rPr>
      </w:pPr>
    </w:p>
    <w:p w14:paraId="4ED1E17F" w14:textId="491A8CDE" w:rsidR="007C5E6A" w:rsidRPr="00BD00C2" w:rsidRDefault="007C5E6A" w:rsidP="00F97456">
      <w:p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b/>
          <w:bCs/>
          <w:sz w:val="24"/>
          <w:szCs w:val="24"/>
          <w:u w:val="single"/>
        </w:rPr>
        <w:t>Credit</w:t>
      </w:r>
      <w:r w:rsidR="00D20646" w:rsidRPr="00BD00C2">
        <w:rPr>
          <w:rFonts w:cstheme="minorHAnsi"/>
          <w:b/>
          <w:bCs/>
          <w:sz w:val="24"/>
          <w:szCs w:val="24"/>
          <w:u w:val="single"/>
        </w:rPr>
        <w:t xml:space="preserve"> Requirements</w:t>
      </w:r>
      <w:r w:rsidRPr="00BD00C2">
        <w:rPr>
          <w:rFonts w:cstheme="minorHAnsi"/>
          <w:b/>
          <w:bCs/>
          <w:sz w:val="24"/>
          <w:szCs w:val="24"/>
          <w:u w:val="single"/>
        </w:rPr>
        <w:t>:</w:t>
      </w:r>
    </w:p>
    <w:p w14:paraId="600A8A84" w14:textId="40B750F5" w:rsidR="00F47A37" w:rsidRPr="00BD00C2" w:rsidRDefault="00F47A37" w:rsidP="00F47A37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Min Fico Requirement: 5</w:t>
      </w:r>
      <w:r w:rsidR="005C5565">
        <w:rPr>
          <w:rFonts w:cstheme="minorHAnsi"/>
          <w:sz w:val="24"/>
          <w:szCs w:val="24"/>
        </w:rPr>
        <w:t>00</w:t>
      </w:r>
    </w:p>
    <w:p w14:paraId="7F7D2AC1" w14:textId="7665DBF6" w:rsidR="00887A4A" w:rsidRPr="00BD00C2" w:rsidRDefault="00887A4A" w:rsidP="00F47A37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Student Loans</w:t>
      </w:r>
    </w:p>
    <w:p w14:paraId="3CB4690C" w14:textId="31C129AF" w:rsidR="00ED054C" w:rsidRPr="00BD00C2" w:rsidRDefault="00ED054C" w:rsidP="00ED054C">
      <w:pPr>
        <w:pStyle w:val="ListParagraph"/>
        <w:numPr>
          <w:ilvl w:val="1"/>
          <w:numId w:val="1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CAN omit payment if deferred at least 12 months past closing</w:t>
      </w:r>
    </w:p>
    <w:p w14:paraId="5A68EF1F" w14:textId="01AC56DB" w:rsidR="00ED054C" w:rsidRPr="00BD00C2" w:rsidRDefault="00ED054C" w:rsidP="00ED054C">
      <w:pPr>
        <w:pStyle w:val="ListParagraph"/>
        <w:numPr>
          <w:ilvl w:val="1"/>
          <w:numId w:val="1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If NOT deferred for a min of 12 months past closing calculate each loan at a rate of 5% of the balance divided by 12 months and use that monthly payment</w:t>
      </w:r>
    </w:p>
    <w:p w14:paraId="4B8CC522" w14:textId="273CF526" w:rsidR="00ED054C" w:rsidRPr="00BD00C2" w:rsidRDefault="00ED054C" w:rsidP="00ED054C">
      <w:pPr>
        <w:pStyle w:val="ListParagraph"/>
        <w:numPr>
          <w:ilvl w:val="1"/>
          <w:numId w:val="1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IF the payment on the credit report is less than your calculation above you must use the higher payment</w:t>
      </w:r>
    </w:p>
    <w:p w14:paraId="6573B2EA" w14:textId="6E5A1E7F" w:rsidR="004F2742" w:rsidRPr="00BD00C2" w:rsidRDefault="004F2742" w:rsidP="005D0FC5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Bankruptcy:</w:t>
      </w:r>
    </w:p>
    <w:p w14:paraId="1250D65D" w14:textId="17CA6440" w:rsidR="004F2742" w:rsidRPr="00BD00C2" w:rsidRDefault="004F2742" w:rsidP="004F2742">
      <w:pPr>
        <w:pStyle w:val="ListParagraph"/>
        <w:numPr>
          <w:ilvl w:val="1"/>
          <w:numId w:val="1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 xml:space="preserve">Ch. 7 – 2 years from discharge date </w:t>
      </w:r>
    </w:p>
    <w:p w14:paraId="6C0FC114" w14:textId="346ADC15" w:rsidR="004F2742" w:rsidRPr="00BD00C2" w:rsidRDefault="004F2742" w:rsidP="004F2742">
      <w:pPr>
        <w:pStyle w:val="ListParagraph"/>
        <w:numPr>
          <w:ilvl w:val="1"/>
          <w:numId w:val="1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 xml:space="preserve">Ch. 13 – </w:t>
      </w:r>
      <w:r w:rsidR="00BF53D4" w:rsidRPr="00BD00C2">
        <w:rPr>
          <w:rFonts w:cstheme="minorHAnsi"/>
          <w:sz w:val="24"/>
          <w:szCs w:val="24"/>
        </w:rPr>
        <w:t>12-month</w:t>
      </w:r>
      <w:r w:rsidRPr="00BD00C2">
        <w:rPr>
          <w:rFonts w:cstheme="minorHAnsi"/>
          <w:sz w:val="24"/>
          <w:szCs w:val="24"/>
        </w:rPr>
        <w:t xml:space="preserve"> (on time) payment history of debts included in bankruptcy + Court Approval + LOX + Any Requirements per AUS</w:t>
      </w:r>
    </w:p>
    <w:p w14:paraId="689582FA" w14:textId="0C8BACE0" w:rsidR="005D0FC5" w:rsidRPr="00BD00C2" w:rsidRDefault="005D0FC5" w:rsidP="005D0FC5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Foreclosure:</w:t>
      </w:r>
    </w:p>
    <w:p w14:paraId="28ACF778" w14:textId="4BDB22B7" w:rsidR="005D0FC5" w:rsidRPr="00BD00C2" w:rsidRDefault="005D0FC5" w:rsidP="005D0FC5">
      <w:pPr>
        <w:pStyle w:val="ListParagraph"/>
        <w:numPr>
          <w:ilvl w:val="1"/>
          <w:numId w:val="1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2 years seasoning required WITH AUS Approval</w:t>
      </w:r>
    </w:p>
    <w:p w14:paraId="30CF9E4C" w14:textId="562B82E2" w:rsidR="005D0FC5" w:rsidRPr="00BD00C2" w:rsidRDefault="005D0FC5" w:rsidP="005D0FC5">
      <w:pPr>
        <w:pStyle w:val="ListParagraph"/>
        <w:numPr>
          <w:ilvl w:val="2"/>
          <w:numId w:val="1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AUS MUST recognize the foreclosure</w:t>
      </w:r>
    </w:p>
    <w:p w14:paraId="024BD0F2" w14:textId="2891A4E4" w:rsidR="00536DD4" w:rsidRPr="00BD00C2" w:rsidRDefault="00536DD4" w:rsidP="00D20646">
      <w:p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b/>
          <w:bCs/>
          <w:sz w:val="24"/>
          <w:szCs w:val="24"/>
          <w:u w:val="single"/>
        </w:rPr>
        <w:t>Income:</w:t>
      </w:r>
    </w:p>
    <w:p w14:paraId="766F815D" w14:textId="4E7545E9" w:rsidR="00536DD4" w:rsidRPr="00BD00C2" w:rsidRDefault="00536DD4" w:rsidP="00536DD4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Child Support/Alimony</w:t>
      </w:r>
    </w:p>
    <w:p w14:paraId="0407D291" w14:textId="6DFDB083" w:rsidR="00536DD4" w:rsidRPr="00BD00C2" w:rsidRDefault="00536DD4" w:rsidP="00536DD4">
      <w:pPr>
        <w:pStyle w:val="ListParagraph"/>
        <w:numPr>
          <w:ilvl w:val="1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Proof of receipt for most recent 3 months</w:t>
      </w:r>
    </w:p>
    <w:p w14:paraId="3869820F" w14:textId="2D7D83D0" w:rsidR="00536DD4" w:rsidRPr="00BD00C2" w:rsidRDefault="00536DD4" w:rsidP="00536DD4">
      <w:pPr>
        <w:pStyle w:val="ListParagraph"/>
        <w:numPr>
          <w:ilvl w:val="1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Must verify continuance of at least 3 years with Divorce Decree/Child Support Order</w:t>
      </w:r>
    </w:p>
    <w:p w14:paraId="43368DCA" w14:textId="595082AF" w:rsidR="001F6743" w:rsidRPr="00BD00C2" w:rsidRDefault="001F6743" w:rsidP="001F6743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Self Employed Bwrs:</w:t>
      </w:r>
    </w:p>
    <w:p w14:paraId="00B26804" w14:textId="6F6E4C5E" w:rsidR="001F6743" w:rsidRPr="00BD00C2" w:rsidRDefault="001F6743" w:rsidP="001F6743">
      <w:pPr>
        <w:pStyle w:val="ListParagraph"/>
        <w:numPr>
          <w:ilvl w:val="1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Must obtain SIGNED copies of tax returns for most recent 2 yrs</w:t>
      </w:r>
    </w:p>
    <w:p w14:paraId="7574967A" w14:textId="5F3C006C" w:rsidR="001F6743" w:rsidRDefault="001F6743" w:rsidP="001F6743">
      <w:pPr>
        <w:pStyle w:val="ListParagraph"/>
        <w:numPr>
          <w:ilvl w:val="1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Must obtain YTD P&amp;L and Balance sheet after one-half of the tax year has passed to verify current income and stability – Per AUS Findings</w:t>
      </w:r>
    </w:p>
    <w:p w14:paraId="15B851EB" w14:textId="31C31D7E" w:rsidR="006D70ED" w:rsidRPr="00BD00C2" w:rsidRDefault="001D2C96" w:rsidP="001F6743">
      <w:pPr>
        <w:pStyle w:val="ListParagraph"/>
        <w:numPr>
          <w:ilvl w:val="1"/>
          <w:numId w:val="2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IF bwr owes taxes obtain IRS approved payment </w:t>
      </w:r>
      <w:r w:rsidR="00D43D69">
        <w:rPr>
          <w:rFonts w:cstheme="minorHAnsi"/>
          <w:sz w:val="24"/>
          <w:szCs w:val="24"/>
        </w:rPr>
        <w:t xml:space="preserve">plan </w:t>
      </w:r>
      <w:r>
        <w:rPr>
          <w:rFonts w:cstheme="minorHAnsi"/>
          <w:sz w:val="24"/>
          <w:szCs w:val="24"/>
        </w:rPr>
        <w:t>and count payment in DTI/Residual</w:t>
      </w:r>
    </w:p>
    <w:p w14:paraId="401B6329" w14:textId="5A5A1912" w:rsidR="00F52CC3" w:rsidRPr="00BD00C2" w:rsidRDefault="00F52CC3" w:rsidP="00B3772A">
      <w:pPr>
        <w:spacing w:after="0"/>
        <w:rPr>
          <w:rFonts w:cstheme="minorHAnsi"/>
          <w:b/>
          <w:bCs/>
          <w:sz w:val="28"/>
          <w:szCs w:val="28"/>
          <w:u w:val="single"/>
        </w:rPr>
      </w:pPr>
    </w:p>
    <w:p w14:paraId="51C815F0" w14:textId="77777777" w:rsidR="00D14E20" w:rsidRDefault="00D14E20" w:rsidP="00B3772A">
      <w:pPr>
        <w:spacing w:after="0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lastRenderedPageBreak/>
        <w:t>Property Requirements:</w:t>
      </w:r>
    </w:p>
    <w:p w14:paraId="54BC6F8B" w14:textId="2E7BF02D" w:rsidR="00DC7DAD" w:rsidRPr="00F241CF" w:rsidRDefault="00DC7DAD" w:rsidP="00DC7DAD">
      <w:pPr>
        <w:pStyle w:val="ListParagraph"/>
        <w:numPr>
          <w:ilvl w:val="0"/>
          <w:numId w:val="4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</w:rPr>
        <w:t>Se</w:t>
      </w:r>
      <w:r w:rsidR="00F241CF">
        <w:rPr>
          <w:rFonts w:cstheme="minorHAnsi"/>
          <w:b/>
          <w:bCs/>
          <w:sz w:val="24"/>
          <w:szCs w:val="24"/>
        </w:rPr>
        <w:t xml:space="preserve">ptic Systems – </w:t>
      </w:r>
      <w:r w:rsidR="00F241CF" w:rsidRPr="00F241CF">
        <w:rPr>
          <w:rFonts w:cstheme="minorHAnsi"/>
          <w:sz w:val="24"/>
          <w:szCs w:val="24"/>
        </w:rPr>
        <w:t>Inspection is always required</w:t>
      </w:r>
      <w:r w:rsidR="003F4587">
        <w:rPr>
          <w:rFonts w:cstheme="minorHAnsi"/>
          <w:sz w:val="24"/>
          <w:szCs w:val="24"/>
        </w:rPr>
        <w:t xml:space="preserve"> regardless of condition </w:t>
      </w:r>
      <w:r w:rsidR="002F6E9D" w:rsidRPr="00FB24F3">
        <w:rPr>
          <w:rFonts w:cstheme="minorHAnsi"/>
          <w:sz w:val="24"/>
          <w:szCs w:val="24"/>
        </w:rPr>
        <w:t>with LIN number starting with 62-62-6</w:t>
      </w:r>
    </w:p>
    <w:p w14:paraId="70926860" w14:textId="02A273A1" w:rsidR="00F241CF" w:rsidRPr="00A66D3D" w:rsidRDefault="00F241CF" w:rsidP="00DC7DAD">
      <w:pPr>
        <w:pStyle w:val="ListParagraph"/>
        <w:numPr>
          <w:ilvl w:val="0"/>
          <w:numId w:val="4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</w:rPr>
        <w:t>Well Water –</w:t>
      </w:r>
      <w:r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="0044088C">
        <w:rPr>
          <w:rFonts w:cstheme="minorHAnsi"/>
          <w:sz w:val="24"/>
          <w:szCs w:val="24"/>
        </w:rPr>
        <w:t>Inspection</w:t>
      </w:r>
      <w:r>
        <w:rPr>
          <w:rFonts w:cstheme="minorHAnsi"/>
          <w:sz w:val="24"/>
          <w:szCs w:val="24"/>
        </w:rPr>
        <w:t xml:space="preserve"> is always required</w:t>
      </w:r>
      <w:r w:rsidR="0044088C">
        <w:rPr>
          <w:rFonts w:cstheme="minorHAnsi"/>
          <w:sz w:val="24"/>
          <w:szCs w:val="24"/>
        </w:rPr>
        <w:t xml:space="preserve">, obtain water test </w:t>
      </w:r>
      <w:r w:rsidR="00EE43EA">
        <w:rPr>
          <w:rFonts w:cstheme="minorHAnsi"/>
          <w:sz w:val="24"/>
          <w:szCs w:val="24"/>
        </w:rPr>
        <w:t xml:space="preserve">results to ensure water meets </w:t>
      </w:r>
      <w:r w:rsidR="00B14269">
        <w:rPr>
          <w:rFonts w:cstheme="minorHAnsi"/>
          <w:sz w:val="24"/>
          <w:szCs w:val="24"/>
        </w:rPr>
        <w:t>local health authority requirements</w:t>
      </w:r>
    </w:p>
    <w:p w14:paraId="1439C2D6" w14:textId="45DE21BF" w:rsidR="00A66D3D" w:rsidRPr="00DC7DAD" w:rsidRDefault="009772CD" w:rsidP="00DC7DAD">
      <w:pPr>
        <w:pStyle w:val="ListParagraph"/>
        <w:numPr>
          <w:ilvl w:val="0"/>
          <w:numId w:val="4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</w:rPr>
        <w:t>Burglar Bars –</w:t>
      </w:r>
      <w:r>
        <w:rPr>
          <w:rFonts w:cstheme="minorHAnsi"/>
          <w:b/>
          <w:bCs/>
          <w:sz w:val="24"/>
          <w:szCs w:val="24"/>
          <w:u w:val="single"/>
        </w:rPr>
        <w:t xml:space="preserve"> </w:t>
      </w:r>
      <w:r>
        <w:rPr>
          <w:rFonts w:cstheme="minorHAnsi"/>
          <w:sz w:val="24"/>
          <w:szCs w:val="24"/>
        </w:rPr>
        <w:t>At least one window per bedroom must have a quick release mechanism</w:t>
      </w:r>
      <w:r w:rsidR="002F6E9D">
        <w:rPr>
          <w:rFonts w:cstheme="minorHAnsi"/>
          <w:sz w:val="24"/>
          <w:szCs w:val="24"/>
        </w:rPr>
        <w:t xml:space="preserve"> </w:t>
      </w:r>
      <w:r w:rsidR="002F6E9D" w:rsidRPr="00FB24F3">
        <w:rPr>
          <w:rFonts w:cstheme="minorHAnsi"/>
          <w:sz w:val="24"/>
          <w:szCs w:val="24"/>
        </w:rPr>
        <w:t>or bars must be removed</w:t>
      </w:r>
    </w:p>
    <w:p w14:paraId="45984CFE" w14:textId="77777777" w:rsidR="00DC7DAD" w:rsidRDefault="00DC7DAD" w:rsidP="00B3772A">
      <w:pPr>
        <w:spacing w:after="0"/>
        <w:rPr>
          <w:rFonts w:cstheme="minorHAnsi"/>
          <w:b/>
          <w:bCs/>
          <w:sz w:val="24"/>
          <w:szCs w:val="24"/>
          <w:u w:val="single"/>
        </w:rPr>
      </w:pPr>
    </w:p>
    <w:p w14:paraId="4D80BE86" w14:textId="20FA83A0" w:rsidR="00B3772A" w:rsidRPr="00BD00C2" w:rsidRDefault="00B60A40" w:rsidP="00B3772A">
      <w:p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b/>
          <w:bCs/>
          <w:sz w:val="24"/>
          <w:szCs w:val="24"/>
          <w:u w:val="single"/>
        </w:rPr>
        <w:t>C</w:t>
      </w:r>
      <w:r w:rsidR="00B3772A" w:rsidRPr="00BD00C2">
        <w:rPr>
          <w:rFonts w:cstheme="minorHAnsi"/>
          <w:b/>
          <w:bCs/>
          <w:sz w:val="24"/>
          <w:szCs w:val="24"/>
          <w:u w:val="single"/>
        </w:rPr>
        <w:t>onversion of Primary Residence:</w:t>
      </w:r>
    </w:p>
    <w:p w14:paraId="5423035A" w14:textId="7B35BC52" w:rsidR="00B3772A" w:rsidRPr="00BD00C2" w:rsidRDefault="00B3772A" w:rsidP="00B3772A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 xml:space="preserve">Second Home – Bwr must qualify with </w:t>
      </w:r>
      <w:r w:rsidR="002F6E9D" w:rsidRPr="00FB24F3">
        <w:rPr>
          <w:rFonts w:cstheme="minorHAnsi"/>
          <w:sz w:val="24"/>
          <w:szCs w:val="24"/>
        </w:rPr>
        <w:t>full PITIA payment for departing REO</w:t>
      </w:r>
    </w:p>
    <w:p w14:paraId="062F8708" w14:textId="60D6275C" w:rsidR="00887A4A" w:rsidRPr="00BD00C2" w:rsidRDefault="00B3772A" w:rsidP="001E07F7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sz w:val="24"/>
          <w:szCs w:val="24"/>
        </w:rPr>
        <w:t xml:space="preserve">Investment Home – Provide </w:t>
      </w:r>
      <w:r w:rsidR="0055003E" w:rsidRPr="00BD00C2">
        <w:rPr>
          <w:rFonts w:cstheme="minorHAnsi"/>
          <w:sz w:val="24"/>
          <w:szCs w:val="24"/>
        </w:rPr>
        <w:t>12-month</w:t>
      </w:r>
      <w:r w:rsidRPr="00BD00C2">
        <w:rPr>
          <w:rFonts w:cstheme="minorHAnsi"/>
          <w:sz w:val="24"/>
          <w:szCs w:val="24"/>
        </w:rPr>
        <w:t xml:space="preserve"> lease</w:t>
      </w:r>
      <w:r w:rsidR="002F6E9D">
        <w:rPr>
          <w:rFonts w:cstheme="minorHAnsi"/>
          <w:sz w:val="24"/>
          <w:szCs w:val="24"/>
        </w:rPr>
        <w:t xml:space="preserve"> </w:t>
      </w:r>
      <w:r w:rsidR="002F6E9D" w:rsidRPr="00FB24F3">
        <w:rPr>
          <w:rFonts w:cstheme="minorHAnsi"/>
          <w:sz w:val="24"/>
          <w:szCs w:val="24"/>
        </w:rPr>
        <w:t xml:space="preserve">or rent market analysis. Only </w:t>
      </w:r>
      <w:r w:rsidRPr="00BD00C2">
        <w:rPr>
          <w:rFonts w:cstheme="minorHAnsi"/>
          <w:sz w:val="24"/>
          <w:szCs w:val="24"/>
        </w:rPr>
        <w:t xml:space="preserve">gross rental income </w:t>
      </w:r>
      <w:r w:rsidR="002F6E9D" w:rsidRPr="00FB24F3">
        <w:rPr>
          <w:rFonts w:cstheme="minorHAnsi"/>
          <w:sz w:val="24"/>
          <w:szCs w:val="24"/>
        </w:rPr>
        <w:t xml:space="preserve">can be used </w:t>
      </w:r>
      <w:r w:rsidRPr="00BD00C2">
        <w:rPr>
          <w:rFonts w:cstheme="minorHAnsi"/>
          <w:sz w:val="24"/>
          <w:szCs w:val="24"/>
        </w:rPr>
        <w:t>to offset the mortgage payment. Any additional rental income cannot be used to qualify</w:t>
      </w:r>
    </w:p>
    <w:p w14:paraId="65A4A699" w14:textId="77777777" w:rsidR="00887A4A" w:rsidRPr="00BD00C2" w:rsidRDefault="00887A4A" w:rsidP="00887A4A">
      <w:pPr>
        <w:spacing w:after="0"/>
        <w:rPr>
          <w:rFonts w:cstheme="minorHAnsi"/>
          <w:b/>
          <w:bCs/>
          <w:sz w:val="24"/>
          <w:szCs w:val="24"/>
          <w:u w:val="single"/>
        </w:rPr>
      </w:pPr>
    </w:p>
    <w:p w14:paraId="0D213D98" w14:textId="58EB5368" w:rsidR="00887A4A" w:rsidRPr="00BD00C2" w:rsidRDefault="00887A4A" w:rsidP="00887A4A">
      <w:p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b/>
          <w:bCs/>
          <w:sz w:val="24"/>
          <w:szCs w:val="24"/>
          <w:u w:val="single"/>
        </w:rPr>
        <w:t>Manual Underwriting:</w:t>
      </w:r>
    </w:p>
    <w:p w14:paraId="2F5D22CD" w14:textId="241BDB42" w:rsidR="00257CD6" w:rsidRPr="007D2D63" w:rsidRDefault="00B3772A" w:rsidP="001C2470">
      <w:pPr>
        <w:pStyle w:val="ListParagraph"/>
        <w:numPr>
          <w:ilvl w:val="0"/>
          <w:numId w:val="3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257CD6">
        <w:rPr>
          <w:rFonts w:cstheme="minorHAnsi"/>
          <w:sz w:val="24"/>
          <w:szCs w:val="24"/>
        </w:rPr>
        <w:t xml:space="preserve">Must </w:t>
      </w:r>
      <w:r w:rsidR="007D2D63">
        <w:rPr>
          <w:rFonts w:cstheme="minorHAnsi"/>
          <w:sz w:val="24"/>
          <w:szCs w:val="24"/>
        </w:rPr>
        <w:t>o</w:t>
      </w:r>
      <w:r w:rsidRPr="00257CD6">
        <w:rPr>
          <w:rFonts w:cstheme="minorHAnsi"/>
          <w:sz w:val="24"/>
          <w:szCs w:val="24"/>
        </w:rPr>
        <w:t xml:space="preserve">btain </w:t>
      </w:r>
      <w:r w:rsidR="007D2D63">
        <w:rPr>
          <w:rFonts w:cstheme="minorHAnsi"/>
          <w:sz w:val="24"/>
          <w:szCs w:val="24"/>
        </w:rPr>
        <w:t xml:space="preserve">clean </w:t>
      </w:r>
      <w:r w:rsidR="00214407" w:rsidRPr="00257CD6">
        <w:rPr>
          <w:rFonts w:cstheme="minorHAnsi"/>
          <w:sz w:val="24"/>
          <w:szCs w:val="24"/>
        </w:rPr>
        <w:t>24</w:t>
      </w:r>
      <w:r w:rsidRPr="00257CD6">
        <w:rPr>
          <w:rFonts w:cstheme="minorHAnsi"/>
          <w:sz w:val="24"/>
          <w:szCs w:val="24"/>
        </w:rPr>
        <w:t xml:space="preserve"> </w:t>
      </w:r>
      <w:r w:rsidR="007D2D63">
        <w:rPr>
          <w:rFonts w:cstheme="minorHAnsi"/>
          <w:sz w:val="24"/>
          <w:szCs w:val="24"/>
        </w:rPr>
        <w:t>m</w:t>
      </w:r>
      <w:r w:rsidRPr="00257CD6">
        <w:rPr>
          <w:rFonts w:cstheme="minorHAnsi"/>
          <w:sz w:val="24"/>
          <w:szCs w:val="24"/>
        </w:rPr>
        <w:t>onth VOR</w:t>
      </w:r>
      <w:r w:rsidR="00EF5594" w:rsidRPr="00257CD6">
        <w:rPr>
          <w:rFonts w:cstheme="minorHAnsi"/>
          <w:sz w:val="24"/>
          <w:szCs w:val="24"/>
        </w:rPr>
        <w:t xml:space="preserve">  </w:t>
      </w:r>
    </w:p>
    <w:p w14:paraId="744626C2" w14:textId="2322D22E" w:rsidR="007D2D63" w:rsidRPr="00FB24F3" w:rsidRDefault="007D2D63" w:rsidP="001C2470">
      <w:pPr>
        <w:pStyle w:val="ListParagraph"/>
        <w:numPr>
          <w:ilvl w:val="0"/>
          <w:numId w:val="3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Must prove </w:t>
      </w:r>
      <w:r w:rsidR="007A11A6">
        <w:rPr>
          <w:rFonts w:cstheme="minorHAnsi"/>
          <w:sz w:val="24"/>
          <w:szCs w:val="24"/>
        </w:rPr>
        <w:t>r</w:t>
      </w:r>
      <w:r w:rsidR="00E6206E">
        <w:rPr>
          <w:rFonts w:cstheme="minorHAnsi"/>
          <w:sz w:val="24"/>
          <w:szCs w:val="24"/>
        </w:rPr>
        <w:t>e-established satisfactory credit within most recent 12 months</w:t>
      </w:r>
      <w:r w:rsidR="002F6E9D">
        <w:rPr>
          <w:rFonts w:cstheme="minorHAnsi"/>
          <w:sz w:val="24"/>
          <w:szCs w:val="24"/>
        </w:rPr>
        <w:t xml:space="preserve">. </w:t>
      </w:r>
      <w:r w:rsidR="002F6E9D" w:rsidRPr="00FB24F3">
        <w:rPr>
          <w:rFonts w:cstheme="minorHAnsi"/>
          <w:sz w:val="24"/>
          <w:szCs w:val="24"/>
        </w:rPr>
        <w:t>(typical 2 tradelines required to document this)</w:t>
      </w:r>
    </w:p>
    <w:p w14:paraId="175167D6" w14:textId="51285042" w:rsidR="001F6743" w:rsidRPr="00257CD6" w:rsidRDefault="001F6743" w:rsidP="001C2470">
      <w:pPr>
        <w:pStyle w:val="ListParagraph"/>
        <w:numPr>
          <w:ilvl w:val="0"/>
          <w:numId w:val="3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257CD6">
        <w:rPr>
          <w:rFonts w:cstheme="minorHAnsi"/>
          <w:sz w:val="24"/>
          <w:szCs w:val="24"/>
        </w:rPr>
        <w:t xml:space="preserve">Must </w:t>
      </w:r>
      <w:r w:rsidR="007D2D63">
        <w:rPr>
          <w:rFonts w:cstheme="minorHAnsi"/>
          <w:sz w:val="24"/>
          <w:szCs w:val="24"/>
        </w:rPr>
        <w:t>o</w:t>
      </w:r>
      <w:r w:rsidRPr="00257CD6">
        <w:rPr>
          <w:rFonts w:cstheme="minorHAnsi"/>
          <w:sz w:val="24"/>
          <w:szCs w:val="24"/>
        </w:rPr>
        <w:t xml:space="preserve">btain </w:t>
      </w:r>
      <w:r w:rsidR="007D2D63">
        <w:rPr>
          <w:rFonts w:cstheme="minorHAnsi"/>
          <w:sz w:val="24"/>
          <w:szCs w:val="24"/>
        </w:rPr>
        <w:t>f</w:t>
      </w:r>
      <w:r w:rsidRPr="00257CD6">
        <w:rPr>
          <w:rFonts w:cstheme="minorHAnsi"/>
          <w:sz w:val="24"/>
          <w:szCs w:val="24"/>
        </w:rPr>
        <w:t xml:space="preserve">ull </w:t>
      </w:r>
      <w:r w:rsidR="007D2D63">
        <w:rPr>
          <w:rFonts w:cstheme="minorHAnsi"/>
          <w:sz w:val="24"/>
          <w:szCs w:val="24"/>
        </w:rPr>
        <w:t>d</w:t>
      </w:r>
      <w:r w:rsidRPr="00257CD6">
        <w:rPr>
          <w:rFonts w:cstheme="minorHAnsi"/>
          <w:sz w:val="24"/>
          <w:szCs w:val="24"/>
        </w:rPr>
        <w:t>erogatory LOX</w:t>
      </w:r>
      <w:r w:rsidR="009B4310">
        <w:rPr>
          <w:rFonts w:cstheme="minorHAnsi"/>
          <w:sz w:val="24"/>
          <w:szCs w:val="24"/>
        </w:rPr>
        <w:t xml:space="preserve"> </w:t>
      </w:r>
    </w:p>
    <w:p w14:paraId="6FF0DBAD" w14:textId="762AD24A" w:rsidR="00887A4A" w:rsidRPr="00BD00C2" w:rsidRDefault="00887A4A" w:rsidP="00887A4A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sz w:val="24"/>
          <w:szCs w:val="24"/>
        </w:rPr>
        <w:t>Compensating Factors</w:t>
      </w:r>
      <w:r w:rsidR="00FB24F3">
        <w:rPr>
          <w:rFonts w:cstheme="minorHAnsi"/>
          <w:sz w:val="24"/>
          <w:szCs w:val="24"/>
        </w:rPr>
        <w:t>:</w:t>
      </w:r>
    </w:p>
    <w:p w14:paraId="30253082" w14:textId="5D3613E8" w:rsidR="00887A4A" w:rsidRPr="00BD00C2" w:rsidRDefault="00887A4A" w:rsidP="00887A4A">
      <w:pPr>
        <w:pStyle w:val="ListParagraph"/>
        <w:numPr>
          <w:ilvl w:val="1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sz w:val="24"/>
          <w:szCs w:val="24"/>
        </w:rPr>
        <w:t>Excellent Credit History</w:t>
      </w:r>
    </w:p>
    <w:p w14:paraId="1F9F7365" w14:textId="06ADB2C5" w:rsidR="00887A4A" w:rsidRPr="002F6E9D" w:rsidRDefault="00887A4A" w:rsidP="00887A4A">
      <w:pPr>
        <w:pStyle w:val="ListParagraph"/>
        <w:numPr>
          <w:ilvl w:val="1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sz w:val="24"/>
          <w:szCs w:val="24"/>
        </w:rPr>
        <w:t>Long Term Employment</w:t>
      </w:r>
    </w:p>
    <w:p w14:paraId="50AFEEE1" w14:textId="5FF08B49" w:rsidR="002F6E9D" w:rsidRPr="00FB24F3" w:rsidRDefault="002F6E9D" w:rsidP="00887A4A">
      <w:pPr>
        <w:pStyle w:val="ListParagraph"/>
        <w:numPr>
          <w:ilvl w:val="1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FB24F3">
        <w:rPr>
          <w:rFonts w:cstheme="minorHAnsi"/>
          <w:sz w:val="24"/>
          <w:szCs w:val="24"/>
        </w:rPr>
        <w:t>Fixed/Stable employment</w:t>
      </w:r>
    </w:p>
    <w:p w14:paraId="6C630BB6" w14:textId="653E27B5" w:rsidR="00887A4A" w:rsidRPr="00BD00C2" w:rsidRDefault="00887A4A" w:rsidP="00887A4A">
      <w:pPr>
        <w:pStyle w:val="ListParagraph"/>
        <w:numPr>
          <w:ilvl w:val="1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sz w:val="24"/>
          <w:szCs w:val="24"/>
        </w:rPr>
        <w:t>Significant Liquid Assets</w:t>
      </w:r>
    </w:p>
    <w:p w14:paraId="1C862C8A" w14:textId="127F3655" w:rsidR="00887A4A" w:rsidRPr="00BD00C2" w:rsidRDefault="00887A4A" w:rsidP="00887A4A">
      <w:pPr>
        <w:pStyle w:val="ListParagraph"/>
        <w:numPr>
          <w:ilvl w:val="1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sz w:val="24"/>
          <w:szCs w:val="24"/>
        </w:rPr>
        <w:t>Sizable Down Payment</w:t>
      </w:r>
    </w:p>
    <w:p w14:paraId="3554171F" w14:textId="14E8F614" w:rsidR="00887A4A" w:rsidRPr="00BD00C2" w:rsidRDefault="00887A4A" w:rsidP="00887A4A">
      <w:pPr>
        <w:pStyle w:val="ListParagraph"/>
        <w:numPr>
          <w:ilvl w:val="1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sz w:val="24"/>
          <w:szCs w:val="24"/>
        </w:rPr>
        <w:t>Existence of Equity in refinancing loans</w:t>
      </w:r>
    </w:p>
    <w:p w14:paraId="48352C04" w14:textId="192E7FD0" w:rsidR="00887A4A" w:rsidRPr="00BD00C2" w:rsidRDefault="00887A4A" w:rsidP="00887A4A">
      <w:pPr>
        <w:pStyle w:val="ListParagraph"/>
        <w:numPr>
          <w:ilvl w:val="1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sz w:val="24"/>
          <w:szCs w:val="24"/>
        </w:rPr>
        <w:t>Little or no increase in shelter expense</w:t>
      </w:r>
    </w:p>
    <w:p w14:paraId="5AD5584F" w14:textId="0EA92B31" w:rsidR="00887A4A" w:rsidRPr="00BD00C2" w:rsidRDefault="00887A4A" w:rsidP="00887A4A">
      <w:pPr>
        <w:pStyle w:val="ListParagraph"/>
        <w:numPr>
          <w:ilvl w:val="1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sz w:val="24"/>
          <w:szCs w:val="24"/>
        </w:rPr>
        <w:t xml:space="preserve">Satisfactory Homeownership </w:t>
      </w:r>
      <w:r w:rsidR="00004B18" w:rsidRPr="00BD00C2">
        <w:rPr>
          <w:rFonts w:cstheme="minorHAnsi"/>
          <w:sz w:val="24"/>
          <w:szCs w:val="24"/>
        </w:rPr>
        <w:t>Experience</w:t>
      </w:r>
    </w:p>
    <w:p w14:paraId="4CD2435A" w14:textId="449C94CC" w:rsidR="00887A4A" w:rsidRPr="00BD00C2" w:rsidRDefault="00887A4A" w:rsidP="00887A4A">
      <w:pPr>
        <w:pStyle w:val="ListParagraph"/>
        <w:numPr>
          <w:ilvl w:val="1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sz w:val="24"/>
          <w:szCs w:val="24"/>
        </w:rPr>
        <w:t xml:space="preserve">High Residual </w:t>
      </w:r>
      <w:r w:rsidRPr="00FB24F3">
        <w:rPr>
          <w:rFonts w:cstheme="minorHAnsi"/>
          <w:sz w:val="24"/>
          <w:szCs w:val="24"/>
        </w:rPr>
        <w:t>Income</w:t>
      </w:r>
      <w:r w:rsidR="009B4310" w:rsidRPr="00FB24F3">
        <w:rPr>
          <w:rFonts w:cstheme="minorHAnsi"/>
          <w:sz w:val="24"/>
          <w:szCs w:val="24"/>
        </w:rPr>
        <w:t xml:space="preserve"> (over 150%)</w:t>
      </w:r>
    </w:p>
    <w:p w14:paraId="771C4560" w14:textId="2A1C5E7D" w:rsidR="00887A4A" w:rsidRPr="002F6E9D" w:rsidRDefault="00887A4A" w:rsidP="00887A4A">
      <w:pPr>
        <w:pStyle w:val="ListParagraph"/>
        <w:numPr>
          <w:ilvl w:val="1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sz w:val="24"/>
          <w:szCs w:val="24"/>
        </w:rPr>
        <w:t>Low DTI Ratios</w:t>
      </w:r>
    </w:p>
    <w:p w14:paraId="4CAD5806" w14:textId="68F3AFFC" w:rsidR="00887A4A" w:rsidRPr="00BD00C2" w:rsidRDefault="00887A4A" w:rsidP="00887A4A">
      <w:pPr>
        <w:pStyle w:val="ListParagraph"/>
        <w:numPr>
          <w:ilvl w:val="1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sz w:val="24"/>
          <w:szCs w:val="24"/>
        </w:rPr>
        <w:t>Tax Benefits of Homeownership</w:t>
      </w:r>
    </w:p>
    <w:p w14:paraId="67B33CBF" w14:textId="3F7219C9" w:rsidR="00F97456" w:rsidRPr="00BD00C2" w:rsidRDefault="00F97456" w:rsidP="00F97456">
      <w:pPr>
        <w:spacing w:after="0"/>
        <w:rPr>
          <w:rFonts w:cstheme="minorHAnsi"/>
          <w:b/>
          <w:bCs/>
          <w:sz w:val="24"/>
          <w:szCs w:val="24"/>
          <w:u w:val="single"/>
        </w:rPr>
      </w:pPr>
    </w:p>
    <w:p w14:paraId="658BAD17" w14:textId="1C47396F" w:rsidR="00B60A40" w:rsidRPr="00BD00C2" w:rsidRDefault="00B60A40" w:rsidP="00F97456">
      <w:p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b/>
          <w:bCs/>
          <w:sz w:val="24"/>
          <w:szCs w:val="24"/>
          <w:u w:val="single"/>
        </w:rPr>
        <w:t>Loans Requiring VA Prior Approval</w:t>
      </w:r>
      <w:r w:rsidR="00255AB1" w:rsidRPr="00BD00C2">
        <w:rPr>
          <w:rFonts w:cstheme="minorHAnsi"/>
          <w:b/>
          <w:bCs/>
          <w:sz w:val="24"/>
          <w:szCs w:val="24"/>
          <w:u w:val="single"/>
        </w:rPr>
        <w:t xml:space="preserve"> (allow additional MINIMUM of 10 day turn time)</w:t>
      </w:r>
      <w:r w:rsidRPr="00BD00C2">
        <w:rPr>
          <w:rFonts w:cstheme="minorHAnsi"/>
          <w:b/>
          <w:bCs/>
          <w:sz w:val="24"/>
          <w:szCs w:val="24"/>
          <w:u w:val="single"/>
        </w:rPr>
        <w:t>:</w:t>
      </w:r>
    </w:p>
    <w:p w14:paraId="63699F3F" w14:textId="6ED3F546" w:rsidR="00B60A40" w:rsidRPr="00BD00C2" w:rsidRDefault="00B60A40" w:rsidP="00B60A40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sz w:val="24"/>
          <w:szCs w:val="24"/>
        </w:rPr>
        <w:t>Joint Loans to Veterans and one or more non-veteran (not spouse)</w:t>
      </w:r>
    </w:p>
    <w:p w14:paraId="547568C1" w14:textId="6ECAAB70" w:rsidR="00255AB1" w:rsidRPr="00BD00C2" w:rsidRDefault="00255AB1" w:rsidP="00B60A40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sz w:val="24"/>
          <w:szCs w:val="24"/>
        </w:rPr>
        <w:t>Joint Loans to veterans and one or more veterans (not spouse) who will not be using entitlement</w:t>
      </w:r>
    </w:p>
    <w:p w14:paraId="701FDBF9" w14:textId="73731FB4" w:rsidR="00255AB1" w:rsidRPr="00BD00C2" w:rsidRDefault="00255AB1" w:rsidP="00B60A40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sz w:val="24"/>
          <w:szCs w:val="24"/>
        </w:rPr>
        <w:t>A Veteran who is rated incompetent by the VA</w:t>
      </w:r>
    </w:p>
    <w:p w14:paraId="22942811" w14:textId="46053A97" w:rsidR="00255AB1" w:rsidRPr="009B4310" w:rsidRDefault="00255AB1" w:rsidP="00B60A40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sz w:val="24"/>
          <w:szCs w:val="24"/>
        </w:rPr>
        <w:t>A Veteran in receipt of VA non-</w:t>
      </w:r>
      <w:r w:rsidR="00331C8B" w:rsidRPr="00BD00C2">
        <w:rPr>
          <w:rFonts w:cstheme="minorHAnsi"/>
          <w:sz w:val="24"/>
          <w:szCs w:val="24"/>
        </w:rPr>
        <w:t>service-connected</w:t>
      </w:r>
      <w:r w:rsidRPr="00BD00C2">
        <w:rPr>
          <w:rFonts w:cstheme="minorHAnsi"/>
          <w:sz w:val="24"/>
          <w:szCs w:val="24"/>
        </w:rPr>
        <w:t xml:space="preserve"> pension</w:t>
      </w:r>
    </w:p>
    <w:p w14:paraId="51A57C96" w14:textId="7F2C34B7" w:rsidR="009B4310" w:rsidRPr="00FB24F3" w:rsidRDefault="009B4310" w:rsidP="00B60A40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FB24F3">
        <w:rPr>
          <w:rFonts w:cstheme="minorHAnsi"/>
          <w:sz w:val="24"/>
          <w:szCs w:val="24"/>
        </w:rPr>
        <w:t>File submitted to VA at time of CTC review (cannot PTF VA review)</w:t>
      </w:r>
    </w:p>
    <w:p w14:paraId="008E816A" w14:textId="77777777" w:rsidR="00255AB1" w:rsidRPr="00BD00C2" w:rsidRDefault="00255AB1" w:rsidP="00255AB1">
      <w:pPr>
        <w:pStyle w:val="ListParagraph"/>
        <w:spacing w:after="0"/>
        <w:rPr>
          <w:rFonts w:cstheme="minorHAnsi"/>
          <w:b/>
          <w:bCs/>
          <w:sz w:val="24"/>
          <w:szCs w:val="24"/>
          <w:u w:val="single"/>
        </w:rPr>
      </w:pPr>
    </w:p>
    <w:p w14:paraId="17540E03" w14:textId="5173E100" w:rsidR="00F97456" w:rsidRPr="00BD00C2" w:rsidRDefault="00F97456" w:rsidP="00F97456">
      <w:p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BD00C2">
        <w:rPr>
          <w:rFonts w:cstheme="minorHAnsi"/>
          <w:b/>
          <w:bCs/>
          <w:sz w:val="24"/>
          <w:szCs w:val="24"/>
          <w:u w:val="single"/>
        </w:rPr>
        <w:t>IRRRL:</w:t>
      </w:r>
    </w:p>
    <w:p w14:paraId="718E4CF0" w14:textId="7DBC32DD" w:rsidR="00F97456" w:rsidRPr="00BD00C2" w:rsidRDefault="00F97456" w:rsidP="00F97456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Min Fico Requirement: 5</w:t>
      </w:r>
      <w:r w:rsidR="00C16A38">
        <w:rPr>
          <w:rFonts w:cstheme="minorHAnsi"/>
          <w:sz w:val="24"/>
          <w:szCs w:val="24"/>
        </w:rPr>
        <w:t>00</w:t>
      </w:r>
    </w:p>
    <w:p w14:paraId="69672F0D" w14:textId="522AA389" w:rsidR="00627663" w:rsidRPr="00BD00C2" w:rsidRDefault="00627663" w:rsidP="00F97456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Funding Fee: 0.50% (Unless exempt)</w:t>
      </w:r>
    </w:p>
    <w:p w14:paraId="452D998D" w14:textId="2687E2E9" w:rsidR="00627663" w:rsidRPr="009B4310" w:rsidRDefault="00627663" w:rsidP="00F97456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9B4310">
        <w:rPr>
          <w:rFonts w:cstheme="minorHAnsi"/>
          <w:sz w:val="24"/>
          <w:szCs w:val="24"/>
        </w:rPr>
        <w:t>A min of 6-Month satisfactory payment history on the current mortgage is required b</w:t>
      </w:r>
      <w:r w:rsidR="00387480" w:rsidRPr="009B4310">
        <w:rPr>
          <w:rFonts w:cstheme="minorHAnsi"/>
          <w:sz w:val="24"/>
          <w:szCs w:val="24"/>
        </w:rPr>
        <w:t>y</w:t>
      </w:r>
      <w:r w:rsidRPr="009B4310">
        <w:rPr>
          <w:rFonts w:cstheme="minorHAnsi"/>
          <w:sz w:val="24"/>
          <w:szCs w:val="24"/>
        </w:rPr>
        <w:t xml:space="preserve"> note date of new loan</w:t>
      </w:r>
    </w:p>
    <w:p w14:paraId="3234FEA9" w14:textId="6F595FCE" w:rsidR="00627663" w:rsidRPr="00BD00C2" w:rsidRDefault="00627663" w:rsidP="00F97456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No serious delinquent obligations in the last 12 months</w:t>
      </w:r>
    </w:p>
    <w:p w14:paraId="3D9CAD55" w14:textId="45AE88C0" w:rsidR="00F97456" w:rsidRPr="00BD00C2" w:rsidRDefault="00F97456" w:rsidP="00F97456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lastRenderedPageBreak/>
        <w:t>No Appraisal Required</w:t>
      </w:r>
    </w:p>
    <w:p w14:paraId="53C0FB4D" w14:textId="750FEAF9" w:rsidR="00627663" w:rsidRPr="00BD00C2" w:rsidRDefault="00627663" w:rsidP="00F97456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Rate of a NEW fixed rate loan must be at least 50bps/0.5% lower than the loan being refinanced</w:t>
      </w:r>
    </w:p>
    <w:p w14:paraId="0A44810A" w14:textId="7557D5B5" w:rsidR="00627663" w:rsidRPr="00BD00C2" w:rsidRDefault="00627663" w:rsidP="00F97456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Max discount points that can be financed are 2%</w:t>
      </w:r>
    </w:p>
    <w:p w14:paraId="6AD583C2" w14:textId="369C84AE" w:rsidR="00F97456" w:rsidRPr="00BD00C2" w:rsidRDefault="00F97456" w:rsidP="00F97456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Income Documentation NOT required however you must verify current employer information</w:t>
      </w:r>
    </w:p>
    <w:p w14:paraId="19994451" w14:textId="7F3CC007" w:rsidR="00F97456" w:rsidRPr="00FB24F3" w:rsidRDefault="00F97456" w:rsidP="00F97456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 xml:space="preserve">If property is a MFG Home, we will </w:t>
      </w:r>
      <w:r w:rsidR="00004B18" w:rsidRPr="00BD00C2">
        <w:rPr>
          <w:rFonts w:cstheme="minorHAnsi"/>
          <w:sz w:val="24"/>
          <w:szCs w:val="24"/>
        </w:rPr>
        <w:t>need</w:t>
      </w:r>
      <w:r w:rsidRPr="00BD00C2">
        <w:rPr>
          <w:rFonts w:cstheme="minorHAnsi"/>
          <w:sz w:val="24"/>
          <w:szCs w:val="24"/>
        </w:rPr>
        <w:t xml:space="preserve"> the make, model, and year of the MFG home</w:t>
      </w:r>
      <w:r w:rsidR="00627663" w:rsidRPr="00BD00C2">
        <w:rPr>
          <w:rFonts w:cstheme="minorHAnsi"/>
          <w:sz w:val="24"/>
          <w:szCs w:val="24"/>
        </w:rPr>
        <w:t xml:space="preserve"> for the MFG </w:t>
      </w:r>
      <w:r w:rsidR="00627663" w:rsidRPr="00FB24F3">
        <w:rPr>
          <w:rFonts w:cstheme="minorHAnsi"/>
          <w:sz w:val="24"/>
          <w:szCs w:val="24"/>
        </w:rPr>
        <w:t>Rider to Deed of Trust and provide the 433A from title or from original appraisal if APM closed the prior loan.</w:t>
      </w:r>
    </w:p>
    <w:p w14:paraId="589FD942" w14:textId="44D3AE69" w:rsidR="009B4310" w:rsidRPr="00FB24F3" w:rsidRDefault="009B4310" w:rsidP="00F97456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FB24F3">
        <w:rPr>
          <w:rFonts w:cstheme="minorHAnsi"/>
          <w:sz w:val="24"/>
          <w:szCs w:val="24"/>
        </w:rPr>
        <w:t>If Property is located in PUD, we will need PUD information</w:t>
      </w:r>
    </w:p>
    <w:p w14:paraId="7F8C2DFC" w14:textId="4635F1EB" w:rsidR="00627663" w:rsidRPr="00BD00C2" w:rsidRDefault="00627663" w:rsidP="00F97456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If the Veteran is deceased and the surviving spouse was a co-obligor, the spouse is considered a Veteran for the IRRRL</w:t>
      </w:r>
    </w:p>
    <w:p w14:paraId="1E8E973F" w14:textId="619F6CEF" w:rsidR="00627663" w:rsidRPr="00FB24F3" w:rsidRDefault="00627663" w:rsidP="00627663">
      <w:pPr>
        <w:pStyle w:val="ListParagraph"/>
        <w:numPr>
          <w:ilvl w:val="1"/>
          <w:numId w:val="2"/>
        </w:numPr>
        <w:spacing w:after="0"/>
        <w:rPr>
          <w:rFonts w:cstheme="minorHAnsi"/>
          <w:sz w:val="24"/>
          <w:szCs w:val="24"/>
        </w:rPr>
      </w:pPr>
      <w:r w:rsidRPr="00FB24F3">
        <w:rPr>
          <w:rFonts w:cstheme="minorHAnsi"/>
          <w:sz w:val="24"/>
          <w:szCs w:val="24"/>
        </w:rPr>
        <w:t>Surviving spouse must own the property and have been an obligor on the original loan.</w:t>
      </w:r>
    </w:p>
    <w:p w14:paraId="3C22EA2F" w14:textId="5B908C48" w:rsidR="009B4310" w:rsidRPr="00FB24F3" w:rsidRDefault="009B4310" w:rsidP="009B4310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FB24F3">
        <w:rPr>
          <w:rFonts w:cstheme="minorHAnsi"/>
          <w:sz w:val="24"/>
          <w:szCs w:val="24"/>
        </w:rPr>
        <w:t>Borrowers must be the original parties on old VA Loan (see VA Handbook Chapter 6 for exceptions)</w:t>
      </w:r>
    </w:p>
    <w:p w14:paraId="48B1C1E5" w14:textId="5689B482" w:rsidR="00B60A40" w:rsidRPr="00FB24F3" w:rsidRDefault="00B60A40" w:rsidP="00B60A40">
      <w:pPr>
        <w:pStyle w:val="ListParagraph"/>
        <w:numPr>
          <w:ilvl w:val="0"/>
          <w:numId w:val="2"/>
        </w:numPr>
        <w:spacing w:after="0"/>
        <w:rPr>
          <w:rFonts w:cstheme="minorHAnsi"/>
          <w:strike/>
          <w:sz w:val="24"/>
          <w:szCs w:val="24"/>
        </w:rPr>
      </w:pPr>
      <w:r w:rsidRPr="00FB24F3">
        <w:rPr>
          <w:rFonts w:cstheme="minorHAnsi"/>
          <w:sz w:val="24"/>
          <w:szCs w:val="24"/>
        </w:rPr>
        <w:t xml:space="preserve">Recoupment must be 36 months or less </w:t>
      </w:r>
    </w:p>
    <w:p w14:paraId="47DD5B87" w14:textId="2B7B8E0E" w:rsidR="009B4310" w:rsidRPr="00FB24F3" w:rsidRDefault="009B4310" w:rsidP="009B4310">
      <w:pPr>
        <w:pStyle w:val="ListParagraph"/>
        <w:numPr>
          <w:ilvl w:val="1"/>
          <w:numId w:val="2"/>
        </w:numPr>
        <w:spacing w:after="0"/>
        <w:rPr>
          <w:rFonts w:cstheme="minorHAnsi"/>
          <w:sz w:val="24"/>
          <w:szCs w:val="24"/>
        </w:rPr>
      </w:pPr>
      <w:r w:rsidRPr="00FB24F3">
        <w:rPr>
          <w:rFonts w:cstheme="minorHAnsi"/>
          <w:sz w:val="24"/>
          <w:szCs w:val="24"/>
        </w:rPr>
        <w:t xml:space="preserve">Recoupment calculated: </w:t>
      </w:r>
      <w:r w:rsidR="008A2B9D" w:rsidRPr="00FB24F3">
        <w:rPr>
          <w:rFonts w:cstheme="minorHAnsi"/>
          <w:sz w:val="24"/>
          <w:szCs w:val="24"/>
        </w:rPr>
        <w:t xml:space="preserve">Closing </w:t>
      </w:r>
      <w:r w:rsidRPr="00FB24F3">
        <w:rPr>
          <w:rFonts w:cstheme="minorHAnsi"/>
          <w:sz w:val="24"/>
          <w:szCs w:val="24"/>
        </w:rPr>
        <w:t xml:space="preserve">Costs of loan divided by </w:t>
      </w:r>
      <w:r w:rsidR="008A2B9D" w:rsidRPr="00FB24F3">
        <w:rPr>
          <w:rFonts w:cstheme="minorHAnsi"/>
          <w:sz w:val="24"/>
          <w:szCs w:val="24"/>
        </w:rPr>
        <w:t xml:space="preserve">PITI </w:t>
      </w:r>
      <w:r w:rsidRPr="00FB24F3">
        <w:rPr>
          <w:rFonts w:cstheme="minorHAnsi"/>
          <w:sz w:val="24"/>
          <w:szCs w:val="24"/>
        </w:rPr>
        <w:t>savings</w:t>
      </w:r>
    </w:p>
    <w:p w14:paraId="66E373E5" w14:textId="79661D73" w:rsidR="00B60A40" w:rsidRPr="00BD00C2" w:rsidRDefault="00B60A40" w:rsidP="00B60A40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The current VA Loan must be seasoned for the later of:</w:t>
      </w:r>
    </w:p>
    <w:p w14:paraId="5D84C3B4" w14:textId="65A11D4B" w:rsidR="00B60A40" w:rsidRPr="00BD00C2" w:rsidRDefault="00B60A40" w:rsidP="00B60A40">
      <w:pPr>
        <w:pStyle w:val="ListParagraph"/>
        <w:numPr>
          <w:ilvl w:val="1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The date that is 210 days after the first due date on the original loans and;</w:t>
      </w:r>
    </w:p>
    <w:p w14:paraId="70EDAB79" w14:textId="303E027C" w:rsidR="00B60A40" w:rsidRPr="00BD00C2" w:rsidRDefault="00B60A40" w:rsidP="00B60A40">
      <w:pPr>
        <w:pStyle w:val="ListParagraph"/>
        <w:numPr>
          <w:ilvl w:val="1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 xml:space="preserve">The date on which the sixth monthly payment is made on the loan. </w:t>
      </w:r>
    </w:p>
    <w:p w14:paraId="2324526D" w14:textId="766D6117" w:rsidR="00B60A40" w:rsidRPr="00BD00C2" w:rsidRDefault="00B60A40" w:rsidP="00C753C9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D00C2">
        <w:rPr>
          <w:rFonts w:cstheme="minorHAnsi"/>
          <w:sz w:val="24"/>
          <w:szCs w:val="24"/>
        </w:rPr>
        <w:t>No cash back to bwr permitted</w:t>
      </w:r>
      <w:r w:rsidR="002F6E9D">
        <w:rPr>
          <w:rFonts w:cstheme="minorHAnsi"/>
          <w:sz w:val="24"/>
          <w:szCs w:val="24"/>
        </w:rPr>
        <w:t xml:space="preserve"> </w:t>
      </w:r>
    </w:p>
    <w:p w14:paraId="01B56FE0" w14:textId="77777777" w:rsidR="00536DD4" w:rsidRPr="00BD00C2" w:rsidRDefault="00536DD4" w:rsidP="00D20646">
      <w:pPr>
        <w:spacing w:after="0"/>
        <w:rPr>
          <w:rFonts w:cstheme="minorHAnsi"/>
          <w:sz w:val="24"/>
          <w:szCs w:val="24"/>
        </w:rPr>
      </w:pPr>
    </w:p>
    <w:p w14:paraId="6D9E3C89" w14:textId="6A8545BC" w:rsidR="00F47A37" w:rsidRPr="00BD00C2" w:rsidRDefault="00F47A37" w:rsidP="007C5E6A">
      <w:pPr>
        <w:rPr>
          <w:rFonts w:cstheme="minorHAnsi"/>
          <w:sz w:val="24"/>
          <w:szCs w:val="24"/>
        </w:rPr>
      </w:pPr>
    </w:p>
    <w:sectPr w:rsidR="00F47A37" w:rsidRPr="00BD00C2" w:rsidSect="00A307A3">
      <w:headerReference w:type="default" r:id="rId8"/>
      <w:pgSz w:w="12240" w:h="15840"/>
      <w:pgMar w:top="720" w:right="720" w:bottom="72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03F78" w14:textId="77777777" w:rsidR="002075D4" w:rsidRDefault="002075D4" w:rsidP="007C5E6A">
      <w:pPr>
        <w:spacing w:after="0" w:line="240" w:lineRule="auto"/>
      </w:pPr>
      <w:r>
        <w:separator/>
      </w:r>
    </w:p>
  </w:endnote>
  <w:endnote w:type="continuationSeparator" w:id="0">
    <w:p w14:paraId="2A18F6EF" w14:textId="77777777" w:rsidR="002075D4" w:rsidRDefault="002075D4" w:rsidP="007C5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BF6E6" w14:textId="77777777" w:rsidR="002075D4" w:rsidRDefault="002075D4" w:rsidP="007C5E6A">
      <w:pPr>
        <w:spacing w:after="0" w:line="240" w:lineRule="auto"/>
      </w:pPr>
      <w:r>
        <w:separator/>
      </w:r>
    </w:p>
  </w:footnote>
  <w:footnote w:type="continuationSeparator" w:id="0">
    <w:p w14:paraId="4416BB18" w14:textId="77777777" w:rsidR="002075D4" w:rsidRDefault="002075D4" w:rsidP="007C5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95858" w14:textId="7BC1242A" w:rsidR="00E517B1" w:rsidRDefault="00E517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9125A"/>
    <w:multiLevelType w:val="hybridMultilevel"/>
    <w:tmpl w:val="7FB234A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B4301"/>
    <w:multiLevelType w:val="hybridMultilevel"/>
    <w:tmpl w:val="8DD6CB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7189F"/>
    <w:multiLevelType w:val="hybridMultilevel"/>
    <w:tmpl w:val="358EEC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1D4A7E"/>
    <w:multiLevelType w:val="hybridMultilevel"/>
    <w:tmpl w:val="FDE049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3991904">
    <w:abstractNumId w:val="0"/>
  </w:num>
  <w:num w:numId="2" w16cid:durableId="2142797321">
    <w:abstractNumId w:val="2"/>
  </w:num>
  <w:num w:numId="3" w16cid:durableId="1363746010">
    <w:abstractNumId w:val="1"/>
  </w:num>
  <w:num w:numId="4" w16cid:durableId="1764298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A37"/>
    <w:rsid w:val="00004B18"/>
    <w:rsid w:val="00037CAF"/>
    <w:rsid w:val="00110A95"/>
    <w:rsid w:val="001217FD"/>
    <w:rsid w:val="001D2C96"/>
    <w:rsid w:val="001F6743"/>
    <w:rsid w:val="002075D4"/>
    <w:rsid w:val="00214407"/>
    <w:rsid w:val="00255AB1"/>
    <w:rsid w:val="00257CD6"/>
    <w:rsid w:val="00297F07"/>
    <w:rsid w:val="002F6E9D"/>
    <w:rsid w:val="00331C8B"/>
    <w:rsid w:val="00377980"/>
    <w:rsid w:val="00387480"/>
    <w:rsid w:val="003F4587"/>
    <w:rsid w:val="0044088C"/>
    <w:rsid w:val="0046767B"/>
    <w:rsid w:val="004F2742"/>
    <w:rsid w:val="0051552B"/>
    <w:rsid w:val="0053432A"/>
    <w:rsid w:val="00536DD4"/>
    <w:rsid w:val="0055003E"/>
    <w:rsid w:val="00572BF3"/>
    <w:rsid w:val="005C5565"/>
    <w:rsid w:val="005D0FC5"/>
    <w:rsid w:val="00616A67"/>
    <w:rsid w:val="00627663"/>
    <w:rsid w:val="006D70ED"/>
    <w:rsid w:val="00703AB4"/>
    <w:rsid w:val="007A11A6"/>
    <w:rsid w:val="007C5E6A"/>
    <w:rsid w:val="007D2D63"/>
    <w:rsid w:val="007D6C70"/>
    <w:rsid w:val="007F6AF7"/>
    <w:rsid w:val="00817250"/>
    <w:rsid w:val="00886F55"/>
    <w:rsid w:val="00887A4A"/>
    <w:rsid w:val="008A2B9D"/>
    <w:rsid w:val="00946D8C"/>
    <w:rsid w:val="0095171B"/>
    <w:rsid w:val="009772CD"/>
    <w:rsid w:val="009B4310"/>
    <w:rsid w:val="009C41CA"/>
    <w:rsid w:val="00A307A3"/>
    <w:rsid w:val="00A30B6C"/>
    <w:rsid w:val="00A66D3D"/>
    <w:rsid w:val="00AA3B3F"/>
    <w:rsid w:val="00B14269"/>
    <w:rsid w:val="00B3772A"/>
    <w:rsid w:val="00B60A40"/>
    <w:rsid w:val="00B75983"/>
    <w:rsid w:val="00BD00C2"/>
    <w:rsid w:val="00BF53D4"/>
    <w:rsid w:val="00BF7C79"/>
    <w:rsid w:val="00C16A38"/>
    <w:rsid w:val="00C43985"/>
    <w:rsid w:val="00CE05DE"/>
    <w:rsid w:val="00D14E20"/>
    <w:rsid w:val="00D20646"/>
    <w:rsid w:val="00D362BF"/>
    <w:rsid w:val="00D43D69"/>
    <w:rsid w:val="00DC7DAD"/>
    <w:rsid w:val="00E051F1"/>
    <w:rsid w:val="00E517B1"/>
    <w:rsid w:val="00E6206E"/>
    <w:rsid w:val="00EB042D"/>
    <w:rsid w:val="00ED054C"/>
    <w:rsid w:val="00EE43EA"/>
    <w:rsid w:val="00EF5594"/>
    <w:rsid w:val="00F241CF"/>
    <w:rsid w:val="00F47A37"/>
    <w:rsid w:val="00F52CC3"/>
    <w:rsid w:val="00F771E0"/>
    <w:rsid w:val="00F97456"/>
    <w:rsid w:val="00FB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0D6A9E"/>
  <w15:chartTrackingRefBased/>
  <w15:docId w15:val="{AF81A7D2-7945-46B1-BC4C-7B1DE73A9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5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5E6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C5E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7C5E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E6A"/>
  </w:style>
  <w:style w:type="paragraph" w:styleId="Footer">
    <w:name w:val="footer"/>
    <w:basedOn w:val="Normal"/>
    <w:link w:val="FooterChar"/>
    <w:uiPriority w:val="99"/>
    <w:unhideWhenUsed/>
    <w:rsid w:val="007C5E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E6A"/>
  </w:style>
  <w:style w:type="paragraph" w:styleId="ListParagraph">
    <w:name w:val="List Paragraph"/>
    <w:basedOn w:val="Normal"/>
    <w:uiPriority w:val="34"/>
    <w:qFormat/>
    <w:rsid w:val="007C5E6A"/>
    <w:pPr>
      <w:ind w:left="720"/>
      <w:contextualSpacing/>
    </w:pPr>
  </w:style>
  <w:style w:type="table" w:styleId="TableGrid">
    <w:name w:val="Table Grid"/>
    <w:basedOn w:val="TableNormal"/>
    <w:uiPriority w:val="39"/>
    <w:rsid w:val="00D20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7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702179FF5F874483AE423F18995B62" ma:contentTypeVersion="13" ma:contentTypeDescription="Create a new document." ma:contentTypeScope="" ma:versionID="a1d116cbedf958d86defe5a5d4925a55">
  <xsd:schema xmlns:xsd="http://www.w3.org/2001/XMLSchema" xmlns:xs="http://www.w3.org/2001/XMLSchema" xmlns:p="http://schemas.microsoft.com/office/2006/metadata/properties" xmlns:ns2="40bae3c9-d26e-410c-8a31-8a24c243f1fe" xmlns:ns3="2a8170ee-3033-4e5c-be6d-2dcaddad7547" targetNamespace="http://schemas.microsoft.com/office/2006/metadata/properties" ma:root="true" ma:fieldsID="7bcc997b3e298b43c5ec052833ec2ac8" ns2:_="" ns3:_="">
    <xsd:import namespace="40bae3c9-d26e-410c-8a31-8a24c243f1fe"/>
    <xsd:import namespace="2a8170ee-3033-4e5c-be6d-2dcaddad7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ae3c9-d26e-410c-8a31-8a24c243f1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897249-e525-4ee2-b3fd-b39a923d79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170ee-3033-4e5c-be6d-2dcaddad754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0340b1c-d3ab-4e06-80b5-96c2840a9c55}" ma:internalName="TaxCatchAll" ma:showField="CatchAllData" ma:web="2a8170ee-3033-4e5c-be6d-2dcaddad75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8170ee-3033-4e5c-be6d-2dcaddad7547" xsi:nil="true"/>
    <lcf76f155ced4ddcb4097134ff3c332f xmlns="40bae3c9-d26e-410c-8a31-8a24c243f1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760233-B80D-44E5-87C5-84C44B127C18}"/>
</file>

<file path=customXml/itemProps2.xml><?xml version="1.0" encoding="utf-8"?>
<ds:datastoreItem xmlns:ds="http://schemas.openxmlformats.org/officeDocument/2006/customXml" ds:itemID="{C0E757A4-1CC9-4294-82BD-00B0BB6BEC88}"/>
</file>

<file path=customXml/itemProps3.xml><?xml version="1.0" encoding="utf-8"?>
<ds:datastoreItem xmlns:ds="http://schemas.openxmlformats.org/officeDocument/2006/customXml" ds:itemID="{8E18C0A3-850E-403B-A95C-7F8FC78193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711</Words>
  <Characters>4057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Rodriguez</dc:creator>
  <cp:keywords/>
  <dc:description/>
  <cp:lastModifiedBy>Stephanie Rodriguez</cp:lastModifiedBy>
  <cp:revision>2</cp:revision>
  <cp:lastPrinted>2022-04-18T19:51:00Z</cp:lastPrinted>
  <dcterms:created xsi:type="dcterms:W3CDTF">2023-06-05T15:50:00Z</dcterms:created>
  <dcterms:modified xsi:type="dcterms:W3CDTF">2023-06-05T15:50:00Z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0x0101009C702179FF5F874483AE423F18995B62</vt:lpwstr>
  </property>
  <property fmtid="{D5CDD505-2E9C-101B-9397-08002B2CF9AE}" pid="3" name="MediaServiceImageTags">
    <vt:lpwstr/>
  </property>
</Properties>
</file>